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bookmarkStart w:id="0" w:name="_GoBack"/>
      <w:bookmarkEnd w:id="0"/>
      <w:r w:rsidRPr="008D3AE4">
        <w:rPr>
          <w:rFonts w:asciiTheme="majorHAnsi" w:eastAsia="Times New Roman" w:hAnsiTheme="majorHAnsi" w:cs="Arial"/>
          <w:b/>
          <w:bCs/>
          <w:color w:val="000000"/>
          <w:sz w:val="21"/>
          <w:szCs w:val="21"/>
        </w:rPr>
        <w:t>Citing Drama</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The text of a play is cited differently from traditional prose works. Because plays are often printed in many editions and anthologies, </w:t>
      </w:r>
      <w:r w:rsidRPr="008D3AE4">
        <w:rPr>
          <w:rFonts w:asciiTheme="majorHAnsi" w:eastAsia="Times New Roman" w:hAnsiTheme="majorHAnsi" w:cs="Arial"/>
          <w:b/>
          <w:bCs/>
          <w:color w:val="555555"/>
          <w:sz w:val="18"/>
          <w:szCs w:val="18"/>
        </w:rPr>
        <w:t>it is customary to cite the act, scene, and line number rather than the page number </w:t>
      </w:r>
      <w:r w:rsidRPr="008D3AE4">
        <w:rPr>
          <w:rFonts w:asciiTheme="majorHAnsi" w:eastAsia="Times New Roman" w:hAnsiTheme="majorHAnsi" w:cs="Arial"/>
          <w:color w:val="555555"/>
          <w:sz w:val="18"/>
          <w:szCs w:val="18"/>
        </w:rPr>
        <w:t>in your in-text citations.</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i/>
          <w:iCs/>
          <w:color w:val="555555"/>
          <w:sz w:val="18"/>
          <w:szCs w:val="18"/>
        </w:rPr>
        <w:t>Tips for citing plays:</w:t>
      </w:r>
    </w:p>
    <w:p w:rsidR="00BC49EB" w:rsidRPr="008D3AE4" w:rsidRDefault="00BC49EB" w:rsidP="00BC49EB">
      <w:pPr>
        <w:numPr>
          <w:ilvl w:val="0"/>
          <w:numId w:val="1"/>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Begin with the broadest division (usually act) and continue through the smallest division (usually scene or line).</w:t>
      </w:r>
    </w:p>
    <w:p w:rsidR="00BC49EB" w:rsidRPr="008D3AE4" w:rsidRDefault="00BC49EB" w:rsidP="00BC49EB">
      <w:pPr>
        <w:numPr>
          <w:ilvl w:val="0"/>
          <w:numId w:val="1"/>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Separate each division with a period. Label each division so the reader knows exactly where to find the quotation in the text.</w:t>
      </w:r>
    </w:p>
    <w:p w:rsidR="00BC49EB" w:rsidRPr="008D3AE4" w:rsidRDefault="00BC49EB" w:rsidP="00BC49EB">
      <w:pPr>
        <w:numPr>
          <w:ilvl w:val="0"/>
          <w:numId w:val="1"/>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Some plays will contain more or fewer divisions than act, scene, &amp; line. Use as much information as is available in the text. </w:t>
      </w:r>
    </w:p>
    <w:p w:rsidR="00BC49EB" w:rsidRPr="008D3AE4" w:rsidRDefault="00BC49EB" w:rsidP="00BC49EB">
      <w:pPr>
        <w:shd w:val="clear" w:color="auto" w:fill="FFFFFF"/>
        <w:spacing w:after="150" w:line="315" w:lineRule="atLeast"/>
        <w:jc w:val="center"/>
        <w:rPr>
          <w:rFonts w:asciiTheme="majorHAnsi" w:eastAsia="Times New Roman" w:hAnsiTheme="majorHAnsi" w:cs="Arial"/>
          <w:color w:val="222222"/>
          <w:sz w:val="18"/>
          <w:szCs w:val="18"/>
        </w:rPr>
      </w:pPr>
      <w:r w:rsidRPr="008D3AE4">
        <w:rPr>
          <w:rFonts w:asciiTheme="majorHAnsi" w:eastAsia="Times New Roman" w:hAnsiTheme="majorHAnsi" w:cs="Arial"/>
          <w:color w:val="222222"/>
          <w:sz w:val="18"/>
          <w:szCs w:val="18"/>
        </w:rPr>
        <w:t>-----------------------------------------------------------------------------------------------------------------------------------------------------------------------------</w:t>
      </w:r>
    </w:p>
    <w:p w:rsidR="00BC49EB" w:rsidRPr="008D3AE4" w:rsidRDefault="00BC49EB" w:rsidP="00BC49EB">
      <w:pPr>
        <w:shd w:val="clear" w:color="auto" w:fill="FFFFFF"/>
        <w:spacing w:before="300" w:after="150" w:line="240" w:lineRule="auto"/>
        <w:outlineLvl w:val="2"/>
        <w:rPr>
          <w:rFonts w:asciiTheme="majorHAnsi" w:eastAsia="Times New Roman" w:hAnsiTheme="majorHAnsi" w:cs="Arial"/>
          <w:color w:val="555555"/>
          <w:sz w:val="36"/>
          <w:szCs w:val="36"/>
        </w:rPr>
      </w:pPr>
      <w:bookmarkStart w:id="1" w:name="single"/>
      <w:bookmarkEnd w:id="1"/>
      <w:r w:rsidRPr="008D3AE4">
        <w:rPr>
          <w:rFonts w:asciiTheme="majorHAnsi" w:eastAsia="Times New Roman" w:hAnsiTheme="majorHAnsi" w:cs="Arial"/>
          <w:b/>
          <w:bCs/>
          <w:color w:val="555555"/>
          <w:sz w:val="21"/>
          <w:szCs w:val="21"/>
        </w:rPr>
        <w:t>Quoting a Single Character MLA 6.4.8</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If you quote a remark from </w:t>
      </w:r>
      <w:r w:rsidRPr="008D3AE4">
        <w:rPr>
          <w:rFonts w:asciiTheme="majorHAnsi" w:eastAsia="Times New Roman" w:hAnsiTheme="majorHAnsi" w:cs="Arial"/>
          <w:color w:val="555555"/>
          <w:sz w:val="18"/>
          <w:szCs w:val="18"/>
          <w:u w:val="single"/>
        </w:rPr>
        <w:t>one</w:t>
      </w:r>
      <w:r w:rsidRPr="008D3AE4">
        <w:rPr>
          <w:rFonts w:asciiTheme="majorHAnsi" w:eastAsia="Times New Roman" w:hAnsiTheme="majorHAnsi" w:cs="Arial"/>
          <w:color w:val="555555"/>
          <w:sz w:val="18"/>
          <w:szCs w:val="18"/>
        </w:rPr>
        <w:t> character, you can incorporate it into the body of the paragraph.</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i/>
          <w:iCs/>
          <w:color w:val="555555"/>
          <w:sz w:val="18"/>
          <w:szCs w:val="18"/>
        </w:rPr>
        <w:t>Example 1:</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Nora's epiphany occurs when she realizes her husband will never reciprocate the sacrifices she's made to protect his pride. She finally stands up to Helmer, telling him, "You neither think nor talk like the man I could join myself to" (</w:t>
      </w:r>
      <w:r w:rsidRPr="008D3AE4">
        <w:rPr>
          <w:rFonts w:asciiTheme="majorHAnsi" w:eastAsia="Times New Roman" w:hAnsiTheme="majorHAnsi" w:cs="Arial"/>
          <w:i/>
          <w:iCs/>
          <w:color w:val="555555"/>
          <w:sz w:val="18"/>
          <w:szCs w:val="18"/>
        </w:rPr>
        <w:t>Doll a</w:t>
      </w:r>
      <w:r w:rsidRPr="008D3AE4">
        <w:rPr>
          <w:rFonts w:asciiTheme="majorHAnsi" w:eastAsia="Times New Roman" w:hAnsiTheme="majorHAnsi" w:cs="Arial"/>
          <w:color w:val="555555"/>
          <w:sz w:val="18"/>
          <w:szCs w:val="18"/>
        </w:rPr>
        <w:t>ct 3).</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(Note: Ibsen's </w:t>
      </w:r>
      <w:r w:rsidRPr="008D3AE4">
        <w:rPr>
          <w:rFonts w:asciiTheme="majorHAnsi" w:eastAsia="Times New Roman" w:hAnsiTheme="majorHAnsi" w:cs="Arial"/>
          <w:i/>
          <w:iCs/>
          <w:color w:val="555555"/>
          <w:sz w:val="18"/>
          <w:szCs w:val="18"/>
        </w:rPr>
        <w:t>A Doll House </w:t>
      </w:r>
      <w:r w:rsidRPr="008D3AE4">
        <w:rPr>
          <w:rFonts w:asciiTheme="majorHAnsi" w:eastAsia="Times New Roman" w:hAnsiTheme="majorHAnsi" w:cs="Arial"/>
          <w:color w:val="555555"/>
          <w:sz w:val="18"/>
          <w:szCs w:val="18"/>
        </w:rPr>
        <w:t>is divided by act only. This will be the only division you can cite.)</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i/>
          <w:iCs/>
          <w:color w:val="555555"/>
          <w:sz w:val="18"/>
          <w:szCs w:val="18"/>
        </w:rPr>
        <w:t>Example 2:</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Although Oedipus blames the gods for his tragic fate, he admits that his latest misfortune is his own doing when he cries, "But the blinding hand was my own! How could I bear to see when all my sight was horror everywhere?" (</w:t>
      </w:r>
      <w:r w:rsidRPr="008D3AE4">
        <w:rPr>
          <w:rFonts w:asciiTheme="majorHAnsi" w:eastAsia="Times New Roman" w:hAnsiTheme="majorHAnsi" w:cs="Arial"/>
          <w:i/>
          <w:iCs/>
          <w:color w:val="555555"/>
          <w:sz w:val="18"/>
          <w:szCs w:val="18"/>
        </w:rPr>
        <w:t>Oedipus </w:t>
      </w:r>
      <w:r w:rsidRPr="008D3AE4">
        <w:rPr>
          <w:rFonts w:asciiTheme="majorHAnsi" w:eastAsia="Times New Roman" w:hAnsiTheme="majorHAnsi" w:cs="Arial"/>
          <w:color w:val="555555"/>
          <w:sz w:val="18"/>
          <w:szCs w:val="18"/>
        </w:rPr>
        <w:t>exodus. strophe 2. lines 114-116).</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(Note: </w:t>
      </w:r>
      <w:r w:rsidRPr="008D3AE4">
        <w:rPr>
          <w:rFonts w:asciiTheme="majorHAnsi" w:eastAsia="Times New Roman" w:hAnsiTheme="majorHAnsi" w:cs="Arial"/>
          <w:i/>
          <w:iCs/>
          <w:color w:val="555555"/>
          <w:sz w:val="18"/>
          <w:szCs w:val="18"/>
        </w:rPr>
        <w:t>Oedipus Rex </w:t>
      </w:r>
      <w:r w:rsidRPr="008D3AE4">
        <w:rPr>
          <w:rFonts w:asciiTheme="majorHAnsi" w:eastAsia="Times New Roman" w:hAnsiTheme="majorHAnsi" w:cs="Arial"/>
          <w:color w:val="555555"/>
          <w:sz w:val="18"/>
          <w:szCs w:val="18"/>
        </w:rPr>
        <w:t>is broken into numerous divisions; all available divisions are included in the citation.)</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w:t>
      </w:r>
    </w:p>
    <w:p w:rsidR="00BC49EB" w:rsidRPr="008D3AE4" w:rsidRDefault="00BC49EB" w:rsidP="00BC49EB">
      <w:pPr>
        <w:shd w:val="clear" w:color="auto" w:fill="FFFFFF"/>
        <w:spacing w:after="150" w:line="315" w:lineRule="atLeast"/>
        <w:jc w:val="center"/>
        <w:rPr>
          <w:rFonts w:asciiTheme="majorHAnsi" w:eastAsia="Times New Roman" w:hAnsiTheme="majorHAnsi" w:cs="Arial"/>
          <w:color w:val="222222"/>
          <w:sz w:val="18"/>
          <w:szCs w:val="18"/>
        </w:rPr>
      </w:pPr>
      <w:r w:rsidRPr="008D3AE4">
        <w:rPr>
          <w:rFonts w:asciiTheme="majorHAnsi" w:eastAsia="Times New Roman" w:hAnsiTheme="majorHAnsi" w:cs="Arial"/>
          <w:color w:val="222222"/>
          <w:sz w:val="18"/>
          <w:szCs w:val="18"/>
        </w:rPr>
        <w:t>-----------------------------------------------------------------------------------------------------------------------------------------------------------------------------</w:t>
      </w:r>
    </w:p>
    <w:p w:rsidR="00BC49EB" w:rsidRPr="008D3AE4" w:rsidRDefault="00BC49EB" w:rsidP="00BC49EB">
      <w:pPr>
        <w:shd w:val="clear" w:color="auto" w:fill="FFFFFF"/>
        <w:spacing w:before="300" w:after="150" w:line="240" w:lineRule="auto"/>
        <w:outlineLvl w:val="2"/>
        <w:rPr>
          <w:rFonts w:asciiTheme="majorHAnsi" w:eastAsia="Times New Roman" w:hAnsiTheme="majorHAnsi" w:cs="Arial"/>
          <w:color w:val="555555"/>
          <w:sz w:val="36"/>
          <w:szCs w:val="36"/>
        </w:rPr>
      </w:pPr>
      <w:bookmarkStart w:id="2" w:name="dialogue"/>
      <w:bookmarkEnd w:id="2"/>
      <w:r w:rsidRPr="008D3AE4">
        <w:rPr>
          <w:rFonts w:asciiTheme="majorHAnsi" w:eastAsia="Times New Roman" w:hAnsiTheme="majorHAnsi" w:cs="Arial"/>
          <w:b/>
          <w:bCs/>
          <w:color w:val="555555"/>
          <w:sz w:val="21"/>
          <w:szCs w:val="21"/>
        </w:rPr>
        <w:t>Quoting Dialogue (2 or More Characters) MLA 3.7.4</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i/>
          <w:iCs/>
          <w:color w:val="555555"/>
          <w:sz w:val="18"/>
          <w:szCs w:val="18"/>
        </w:rPr>
        <w:t>Tips for quoting dialogue:</w:t>
      </w:r>
    </w:p>
    <w:p w:rsidR="00BC49EB" w:rsidRPr="008D3AE4" w:rsidRDefault="00BC49EB" w:rsidP="00BC49EB">
      <w:pPr>
        <w:numPr>
          <w:ilvl w:val="0"/>
          <w:numId w:val="2"/>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Begin the quotation on a new line.</w:t>
      </w:r>
    </w:p>
    <w:p w:rsidR="00BC49EB" w:rsidRPr="008D3AE4" w:rsidRDefault="00BC49EB" w:rsidP="00BC49EB">
      <w:pPr>
        <w:numPr>
          <w:ilvl w:val="0"/>
          <w:numId w:val="2"/>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Set the quotation off from the body of your paper with one inch indentations.</w:t>
      </w:r>
    </w:p>
    <w:p w:rsidR="00BC49EB" w:rsidRPr="008D3AE4" w:rsidRDefault="00BC49EB" w:rsidP="00BC49EB">
      <w:pPr>
        <w:numPr>
          <w:ilvl w:val="0"/>
          <w:numId w:val="2"/>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lastRenderedPageBreak/>
        <w:t>If a character's speech continues onto the next line of your paper, indent subsequent lines an additional 1/4 inch (about 3 spaces).</w:t>
      </w:r>
    </w:p>
    <w:p w:rsidR="00BC49EB" w:rsidRPr="008D3AE4" w:rsidRDefault="00BC49EB" w:rsidP="00BC49EB">
      <w:pPr>
        <w:numPr>
          <w:ilvl w:val="0"/>
          <w:numId w:val="2"/>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Double-space each line.</w:t>
      </w:r>
    </w:p>
    <w:p w:rsidR="00BC49EB" w:rsidRPr="008D3AE4" w:rsidRDefault="00BC49EB" w:rsidP="00BC49EB">
      <w:pPr>
        <w:numPr>
          <w:ilvl w:val="0"/>
          <w:numId w:val="2"/>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Write the characters' names in capital letters followed by a period.</w:t>
      </w:r>
    </w:p>
    <w:p w:rsidR="00BC49EB" w:rsidRPr="008D3AE4" w:rsidRDefault="00BC49EB" w:rsidP="00BC49EB">
      <w:pPr>
        <w:numPr>
          <w:ilvl w:val="0"/>
          <w:numId w:val="2"/>
        </w:numPr>
        <w:shd w:val="clear" w:color="auto" w:fill="FFFFFF"/>
        <w:spacing w:before="100" w:beforeAutospacing="1" w:after="100" w:afterAutospacing="1"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Do not use quotation marks.</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i/>
          <w:iCs/>
          <w:color w:val="555555"/>
          <w:sz w:val="18"/>
          <w:szCs w:val="18"/>
        </w:rPr>
        <w:t>Example 1:</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OEDIPUS. Ah, what net has God been weaving for me?</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IOCASTÊ. Oedipus! What does this trouble you?</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xml:space="preserve">      OEDIPUS. Do not ask me yet. First, tell me how </w:t>
      </w:r>
      <w:proofErr w:type="spellStart"/>
      <w:r w:rsidRPr="008D3AE4">
        <w:rPr>
          <w:rFonts w:asciiTheme="majorHAnsi" w:eastAsia="Times New Roman" w:hAnsiTheme="majorHAnsi" w:cs="Arial"/>
          <w:color w:val="555555"/>
          <w:sz w:val="18"/>
          <w:szCs w:val="18"/>
        </w:rPr>
        <w:t>Laïos</w:t>
      </w:r>
      <w:proofErr w:type="spellEnd"/>
      <w:r w:rsidRPr="008D3AE4">
        <w:rPr>
          <w:rFonts w:asciiTheme="majorHAnsi" w:eastAsia="Times New Roman" w:hAnsiTheme="majorHAnsi" w:cs="Arial"/>
          <w:color w:val="555555"/>
          <w:sz w:val="18"/>
          <w:szCs w:val="18"/>
        </w:rPr>
        <w:t xml:space="preserve"> looked, and tell me how old he was.</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IOCASTÊ. He was tall, his hair just touched with white; his form was not unlike your own.</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OEDIPUS. I think that I myself may be accursed by my own ignorant edict. (</w:t>
      </w:r>
      <w:r w:rsidRPr="008D3AE4">
        <w:rPr>
          <w:rFonts w:asciiTheme="majorHAnsi" w:eastAsia="Times New Roman" w:hAnsiTheme="majorHAnsi" w:cs="Arial"/>
          <w:i/>
          <w:iCs/>
          <w:color w:val="555555"/>
          <w:sz w:val="18"/>
          <w:szCs w:val="18"/>
        </w:rPr>
        <w:t>Oedipus </w:t>
      </w:r>
      <w:r w:rsidRPr="008D3AE4">
        <w:rPr>
          <w:rFonts w:asciiTheme="majorHAnsi" w:eastAsia="Times New Roman" w:hAnsiTheme="majorHAnsi" w:cs="Arial"/>
          <w:color w:val="555555"/>
          <w:sz w:val="18"/>
          <w:szCs w:val="18"/>
        </w:rPr>
        <w:t>scene 2. antistrophe 2. lines 211-216)</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i/>
          <w:iCs/>
          <w:color w:val="555555"/>
          <w:sz w:val="18"/>
          <w:szCs w:val="18"/>
        </w:rPr>
        <w:t>Example 2:</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KROGSTAD. Yes, yes, yes, to the point: there's still time, and I'm advising you to use your</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influence to prevent it.</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NORA. But Mr. Krogstad, I have absolutely no influence.</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KROGSTAD. You haven't? I thought you were just saying -</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NORA. You shouldn't take me so literally! How can you believe that I have any such influence</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over my husband? (</w:t>
      </w:r>
      <w:r w:rsidRPr="008D3AE4">
        <w:rPr>
          <w:rFonts w:asciiTheme="majorHAnsi" w:eastAsia="Times New Roman" w:hAnsiTheme="majorHAnsi" w:cs="Arial"/>
          <w:i/>
          <w:iCs/>
          <w:color w:val="555555"/>
          <w:sz w:val="18"/>
          <w:szCs w:val="18"/>
        </w:rPr>
        <w:t>Doll </w:t>
      </w:r>
      <w:r w:rsidRPr="008D3AE4">
        <w:rPr>
          <w:rFonts w:asciiTheme="majorHAnsi" w:eastAsia="Times New Roman" w:hAnsiTheme="majorHAnsi" w:cs="Arial"/>
          <w:color w:val="555555"/>
          <w:sz w:val="18"/>
          <w:szCs w:val="18"/>
        </w:rPr>
        <w:t>act 1)</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w:t>
      </w:r>
    </w:p>
    <w:p w:rsidR="00BC49EB" w:rsidRPr="008D3AE4" w:rsidRDefault="00BC49EB" w:rsidP="00BC49EB">
      <w:pPr>
        <w:shd w:val="clear" w:color="auto" w:fill="FFFFFF"/>
        <w:spacing w:after="150" w:line="315" w:lineRule="atLeast"/>
        <w:jc w:val="center"/>
        <w:rPr>
          <w:rFonts w:asciiTheme="majorHAnsi" w:eastAsia="Times New Roman" w:hAnsiTheme="majorHAnsi" w:cs="Arial"/>
          <w:color w:val="222222"/>
          <w:sz w:val="18"/>
          <w:szCs w:val="18"/>
        </w:rPr>
      </w:pPr>
      <w:r w:rsidRPr="008D3AE4">
        <w:rPr>
          <w:rFonts w:asciiTheme="majorHAnsi" w:eastAsia="Times New Roman" w:hAnsiTheme="majorHAnsi" w:cs="Arial"/>
          <w:color w:val="222222"/>
          <w:sz w:val="18"/>
          <w:szCs w:val="18"/>
        </w:rPr>
        <w:t>-----------------------------------------------------------------------------------------------------------------------------------------------------------------------------</w:t>
      </w:r>
    </w:p>
    <w:p w:rsidR="00BC49EB" w:rsidRPr="008D3AE4" w:rsidRDefault="00BC49EB" w:rsidP="00BC49EB">
      <w:pPr>
        <w:shd w:val="clear" w:color="auto" w:fill="FFFFFF"/>
        <w:spacing w:after="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b/>
          <w:bCs/>
          <w:color w:val="000000"/>
          <w:sz w:val="21"/>
          <w:szCs w:val="21"/>
        </w:rPr>
        <w:t>Works Cited</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Ibsen, Henrik. </w:t>
      </w:r>
      <w:r w:rsidRPr="008D3AE4">
        <w:rPr>
          <w:rFonts w:asciiTheme="majorHAnsi" w:eastAsia="Times New Roman" w:hAnsiTheme="majorHAnsi" w:cs="Arial"/>
          <w:i/>
          <w:iCs/>
          <w:color w:val="555555"/>
          <w:sz w:val="18"/>
          <w:szCs w:val="18"/>
        </w:rPr>
        <w:t>A Doll House. </w:t>
      </w:r>
      <w:r w:rsidRPr="008D3AE4">
        <w:rPr>
          <w:rFonts w:asciiTheme="majorHAnsi" w:eastAsia="Times New Roman" w:hAnsiTheme="majorHAnsi" w:cs="Arial"/>
          <w:color w:val="555555"/>
          <w:sz w:val="18"/>
          <w:szCs w:val="18"/>
        </w:rPr>
        <w:t xml:space="preserve">Trans. Rolf </w:t>
      </w:r>
      <w:proofErr w:type="spellStart"/>
      <w:r w:rsidRPr="008D3AE4">
        <w:rPr>
          <w:rFonts w:asciiTheme="majorHAnsi" w:eastAsia="Times New Roman" w:hAnsiTheme="majorHAnsi" w:cs="Arial"/>
          <w:color w:val="555555"/>
          <w:sz w:val="18"/>
          <w:szCs w:val="18"/>
        </w:rPr>
        <w:t>Fjelde</w:t>
      </w:r>
      <w:proofErr w:type="spellEnd"/>
      <w:r w:rsidRPr="008D3AE4">
        <w:rPr>
          <w:rFonts w:asciiTheme="majorHAnsi" w:eastAsia="Times New Roman" w:hAnsiTheme="majorHAnsi" w:cs="Arial"/>
          <w:color w:val="555555"/>
          <w:sz w:val="18"/>
          <w:szCs w:val="18"/>
        </w:rPr>
        <w:t>. </w:t>
      </w:r>
      <w:r w:rsidRPr="008D3AE4">
        <w:rPr>
          <w:rFonts w:asciiTheme="majorHAnsi" w:eastAsia="Times New Roman" w:hAnsiTheme="majorHAnsi" w:cs="Arial"/>
          <w:i/>
          <w:iCs/>
          <w:color w:val="555555"/>
          <w:sz w:val="18"/>
          <w:szCs w:val="18"/>
        </w:rPr>
        <w:t>Literature: Reading, Fiction, Poetry, and Drama. </w:t>
      </w:r>
      <w:r w:rsidRPr="008D3AE4">
        <w:rPr>
          <w:rFonts w:asciiTheme="majorHAnsi" w:eastAsia="Times New Roman" w:hAnsiTheme="majorHAnsi" w:cs="Arial"/>
          <w:color w:val="555555"/>
          <w:sz w:val="18"/>
          <w:szCs w:val="18"/>
        </w:rPr>
        <w:t xml:space="preserve">Ed. Robert </w:t>
      </w:r>
      <w:proofErr w:type="spellStart"/>
      <w:r w:rsidRPr="008D3AE4">
        <w:rPr>
          <w:rFonts w:asciiTheme="majorHAnsi" w:eastAsia="Times New Roman" w:hAnsiTheme="majorHAnsi" w:cs="Arial"/>
          <w:color w:val="555555"/>
          <w:sz w:val="18"/>
          <w:szCs w:val="18"/>
        </w:rPr>
        <w:t>DiYanni</w:t>
      </w:r>
      <w:proofErr w:type="spellEnd"/>
      <w:r w:rsidRPr="008D3AE4">
        <w:rPr>
          <w:rFonts w:asciiTheme="majorHAnsi" w:eastAsia="Times New Roman" w:hAnsiTheme="majorHAnsi" w:cs="Arial"/>
          <w:color w:val="555555"/>
          <w:sz w:val="18"/>
          <w:szCs w:val="18"/>
        </w:rPr>
        <w:t>. 6th ed.</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Boston: McGraw-Hill, 2007. 1666-1715. Print.</w:t>
      </w:r>
    </w:p>
    <w:p w:rsidR="00BC49EB"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Sophocles. </w:t>
      </w:r>
      <w:r w:rsidRPr="008D3AE4">
        <w:rPr>
          <w:rFonts w:asciiTheme="majorHAnsi" w:eastAsia="Times New Roman" w:hAnsiTheme="majorHAnsi" w:cs="Arial"/>
          <w:i/>
          <w:iCs/>
          <w:color w:val="555555"/>
          <w:sz w:val="18"/>
          <w:szCs w:val="18"/>
        </w:rPr>
        <w:t>Oedipus Rex. </w:t>
      </w:r>
      <w:r w:rsidRPr="008D3AE4">
        <w:rPr>
          <w:rFonts w:asciiTheme="majorHAnsi" w:eastAsia="Times New Roman" w:hAnsiTheme="majorHAnsi" w:cs="Arial"/>
          <w:color w:val="555555"/>
          <w:sz w:val="18"/>
          <w:szCs w:val="18"/>
        </w:rPr>
        <w:t xml:space="preserve">Trans. Dudley </w:t>
      </w:r>
      <w:proofErr w:type="spellStart"/>
      <w:r w:rsidRPr="008D3AE4">
        <w:rPr>
          <w:rFonts w:asciiTheme="majorHAnsi" w:eastAsia="Times New Roman" w:hAnsiTheme="majorHAnsi" w:cs="Arial"/>
          <w:color w:val="555555"/>
          <w:sz w:val="18"/>
          <w:szCs w:val="18"/>
        </w:rPr>
        <w:t>Fitts</w:t>
      </w:r>
      <w:proofErr w:type="spellEnd"/>
      <w:r w:rsidRPr="008D3AE4">
        <w:rPr>
          <w:rFonts w:asciiTheme="majorHAnsi" w:eastAsia="Times New Roman" w:hAnsiTheme="majorHAnsi" w:cs="Arial"/>
          <w:color w:val="555555"/>
          <w:sz w:val="18"/>
          <w:szCs w:val="18"/>
        </w:rPr>
        <w:t xml:space="preserve"> and Robert Fitzgerald. </w:t>
      </w:r>
      <w:r w:rsidRPr="008D3AE4">
        <w:rPr>
          <w:rFonts w:asciiTheme="majorHAnsi" w:eastAsia="Times New Roman" w:hAnsiTheme="majorHAnsi" w:cs="Arial"/>
          <w:i/>
          <w:iCs/>
          <w:color w:val="555555"/>
          <w:sz w:val="18"/>
          <w:szCs w:val="18"/>
        </w:rPr>
        <w:t>Literature: Reading Fiction, Poetry, and Drama. </w:t>
      </w:r>
      <w:r w:rsidRPr="008D3AE4">
        <w:rPr>
          <w:rFonts w:asciiTheme="majorHAnsi" w:eastAsia="Times New Roman" w:hAnsiTheme="majorHAnsi" w:cs="Arial"/>
          <w:color w:val="555555"/>
          <w:sz w:val="18"/>
          <w:szCs w:val="18"/>
        </w:rPr>
        <w:t>Ed. Robert</w:t>
      </w:r>
    </w:p>
    <w:p w:rsidR="00A415DF" w:rsidRPr="008D3AE4" w:rsidRDefault="00BC49EB" w:rsidP="00BC49EB">
      <w:pPr>
        <w:shd w:val="clear" w:color="auto" w:fill="FFFFFF"/>
        <w:spacing w:after="150" w:line="315" w:lineRule="atLeast"/>
        <w:rPr>
          <w:rFonts w:asciiTheme="majorHAnsi" w:eastAsia="Times New Roman" w:hAnsiTheme="majorHAnsi" w:cs="Arial"/>
          <w:color w:val="555555"/>
          <w:sz w:val="18"/>
          <w:szCs w:val="18"/>
        </w:rPr>
      </w:pPr>
      <w:r w:rsidRPr="008D3AE4">
        <w:rPr>
          <w:rFonts w:asciiTheme="majorHAnsi" w:eastAsia="Times New Roman" w:hAnsiTheme="majorHAnsi" w:cs="Arial"/>
          <w:color w:val="555555"/>
          <w:sz w:val="18"/>
          <w:szCs w:val="18"/>
        </w:rPr>
        <w:t>         </w:t>
      </w:r>
      <w:proofErr w:type="spellStart"/>
      <w:r w:rsidRPr="008D3AE4">
        <w:rPr>
          <w:rFonts w:asciiTheme="majorHAnsi" w:eastAsia="Times New Roman" w:hAnsiTheme="majorHAnsi" w:cs="Arial"/>
          <w:color w:val="555555"/>
          <w:sz w:val="18"/>
          <w:szCs w:val="18"/>
        </w:rPr>
        <w:t>DiYanni</w:t>
      </w:r>
      <w:proofErr w:type="spellEnd"/>
      <w:r w:rsidRPr="008D3AE4">
        <w:rPr>
          <w:rFonts w:asciiTheme="majorHAnsi" w:eastAsia="Times New Roman" w:hAnsiTheme="majorHAnsi" w:cs="Arial"/>
          <w:color w:val="555555"/>
          <w:sz w:val="18"/>
          <w:szCs w:val="18"/>
        </w:rPr>
        <w:t>. 6th ed. Boston: McGraw-Hill, 2007. 1307-1346. Print.</w:t>
      </w:r>
    </w:p>
    <w:sectPr w:rsidR="00A415DF" w:rsidRPr="008D3AE4" w:rsidSect="008D3A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F0325"/>
    <w:multiLevelType w:val="multilevel"/>
    <w:tmpl w:val="BB2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4B3EFE"/>
    <w:multiLevelType w:val="multilevel"/>
    <w:tmpl w:val="B21A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9EB"/>
    <w:rsid w:val="008D3AE4"/>
    <w:rsid w:val="00A415DF"/>
    <w:rsid w:val="00BC49EB"/>
    <w:rsid w:val="00E2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4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9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9EB"/>
    <w:rPr>
      <w:b/>
      <w:bCs/>
    </w:rPr>
  </w:style>
  <w:style w:type="character" w:customStyle="1" w:styleId="apple-converted-space">
    <w:name w:val="apple-converted-space"/>
    <w:basedOn w:val="DefaultParagraphFont"/>
    <w:rsid w:val="00BC49EB"/>
  </w:style>
  <w:style w:type="character" w:styleId="Emphasis">
    <w:name w:val="Emphasis"/>
    <w:basedOn w:val="DefaultParagraphFont"/>
    <w:uiPriority w:val="20"/>
    <w:qFormat/>
    <w:rsid w:val="00BC49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C4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49E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49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49EB"/>
    <w:rPr>
      <w:b/>
      <w:bCs/>
    </w:rPr>
  </w:style>
  <w:style w:type="character" w:customStyle="1" w:styleId="apple-converted-space">
    <w:name w:val="apple-converted-space"/>
    <w:basedOn w:val="DefaultParagraphFont"/>
    <w:rsid w:val="00BC49EB"/>
  </w:style>
  <w:style w:type="character" w:styleId="Emphasis">
    <w:name w:val="Emphasis"/>
    <w:basedOn w:val="DefaultParagraphFont"/>
    <w:uiPriority w:val="20"/>
    <w:qFormat/>
    <w:rsid w:val="00BC49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02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2014-12-01T21:12:00Z</cp:lastPrinted>
  <dcterms:created xsi:type="dcterms:W3CDTF">2015-02-06T17:11:00Z</dcterms:created>
  <dcterms:modified xsi:type="dcterms:W3CDTF">2015-02-06T17:11:00Z</dcterms:modified>
</cp:coreProperties>
</file>